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5CD" w:rsidRDefault="002335CD"/>
    <w:p w:rsidR="002335CD" w:rsidRDefault="002335CD"/>
    <w:p w:rsidR="000A1688" w:rsidRDefault="003975FE" w:rsidP="003975FE">
      <w:pPr>
        <w:pStyle w:val="IcaoSoDDecContext"/>
        <w:spacing w:after="240"/>
        <w:ind w:left="992"/>
        <w:jc w:val="center"/>
        <w:rPr>
          <w:b/>
          <w:bCs/>
          <w:szCs w:val="22"/>
          <w:lang w:val="en-US"/>
        </w:rPr>
      </w:pPr>
      <w:r w:rsidRPr="002C41C7">
        <w:rPr>
          <w:b/>
          <w:bCs/>
          <w:szCs w:val="22"/>
          <w:lang w:val="en-US"/>
        </w:rPr>
        <w:t>EUR Search and Rescue Task Force Terms of Reference</w:t>
      </w:r>
    </w:p>
    <w:p w:rsidR="003975FE" w:rsidRDefault="003975FE" w:rsidP="003975FE">
      <w:pPr>
        <w:pStyle w:val="Default"/>
        <w:rPr>
          <w:sz w:val="22"/>
          <w:szCs w:val="22"/>
          <w:lang w:val="en-US"/>
        </w:rPr>
      </w:pPr>
      <w:r w:rsidRPr="002C41C7">
        <w:rPr>
          <w:b/>
          <w:bCs/>
          <w:sz w:val="22"/>
          <w:szCs w:val="22"/>
          <w:lang w:val="en-US"/>
        </w:rPr>
        <w:t>Establishment:</w:t>
      </w:r>
      <w:r>
        <w:rPr>
          <w:b/>
          <w:bCs/>
          <w:sz w:val="22"/>
          <w:szCs w:val="22"/>
          <w:lang w:val="en-US"/>
        </w:rPr>
        <w:t xml:space="preserve"> 2021</w:t>
      </w:r>
      <w:r w:rsidRPr="002C41C7">
        <w:rPr>
          <w:b/>
          <w:bCs/>
          <w:sz w:val="22"/>
          <w:szCs w:val="22"/>
          <w:lang w:val="en-US"/>
        </w:rPr>
        <w:t xml:space="preserve"> – EASPG Decision </w:t>
      </w:r>
      <w:r w:rsidR="005F4B7E">
        <w:rPr>
          <w:b/>
          <w:sz w:val="22"/>
          <w:szCs w:val="22"/>
          <w:lang w:val="en-US"/>
        </w:rPr>
        <w:t>3/11</w:t>
      </w:r>
      <w:bookmarkStart w:id="0" w:name="_GoBack"/>
      <w:bookmarkEnd w:id="0"/>
      <w:r w:rsidRPr="00747DCB">
        <w:rPr>
          <w:b/>
          <w:sz w:val="22"/>
          <w:szCs w:val="22"/>
          <w:lang w:val="en-US"/>
        </w:rPr>
        <w:t xml:space="preserve"> </w:t>
      </w:r>
    </w:p>
    <w:p w:rsidR="003975FE" w:rsidRPr="002C41C7" w:rsidRDefault="003975FE" w:rsidP="003975FE">
      <w:pPr>
        <w:pStyle w:val="Default"/>
        <w:rPr>
          <w:sz w:val="22"/>
          <w:szCs w:val="22"/>
          <w:lang w:val="en-US"/>
        </w:rPr>
      </w:pPr>
    </w:p>
    <w:p w:rsidR="002335CD" w:rsidRDefault="003975FE" w:rsidP="003975FE">
      <w:pPr>
        <w:pStyle w:val="IcaoSoDDecContext"/>
        <w:spacing w:after="240"/>
        <w:ind w:left="0"/>
        <w:jc w:val="left"/>
        <w:rPr>
          <w:lang w:val="en-US"/>
        </w:rPr>
      </w:pPr>
      <w:r w:rsidRPr="002C41C7">
        <w:rPr>
          <w:b/>
          <w:bCs/>
          <w:szCs w:val="22"/>
          <w:lang w:val="en-US"/>
        </w:rPr>
        <w:t>Terms of Reference</w:t>
      </w:r>
    </w:p>
    <w:p w:rsidR="003975FE" w:rsidRDefault="003975FE" w:rsidP="003975FE">
      <w:pPr>
        <w:pStyle w:val="Default"/>
        <w:rPr>
          <w:b/>
          <w:bCs/>
          <w:sz w:val="22"/>
          <w:szCs w:val="22"/>
          <w:lang w:val="en-US"/>
        </w:rPr>
      </w:pPr>
      <w:r w:rsidRPr="002C41C7">
        <w:rPr>
          <w:b/>
          <w:bCs/>
          <w:sz w:val="22"/>
          <w:szCs w:val="22"/>
          <w:lang w:val="en-US"/>
        </w:rPr>
        <w:t xml:space="preserve">Objective </w:t>
      </w:r>
    </w:p>
    <w:p w:rsidR="003975FE" w:rsidRPr="002C41C7" w:rsidRDefault="003975FE" w:rsidP="003975FE">
      <w:pPr>
        <w:pStyle w:val="Default"/>
        <w:rPr>
          <w:sz w:val="22"/>
          <w:szCs w:val="22"/>
          <w:lang w:val="en-US"/>
        </w:rPr>
      </w:pPr>
    </w:p>
    <w:p w:rsidR="003975FE" w:rsidRPr="002C41C7" w:rsidRDefault="003975FE" w:rsidP="00980CB3">
      <w:pPr>
        <w:pStyle w:val="Default"/>
        <w:spacing w:after="179"/>
        <w:jc w:val="both"/>
        <w:rPr>
          <w:sz w:val="22"/>
          <w:szCs w:val="22"/>
          <w:lang w:val="en-US"/>
        </w:rPr>
      </w:pPr>
      <w:r w:rsidRPr="002C41C7">
        <w:rPr>
          <w:sz w:val="22"/>
          <w:szCs w:val="22"/>
          <w:lang w:val="en-US"/>
        </w:rPr>
        <w:t xml:space="preserve">In collaboration with affected stakeholders and in close cooperation with the International Maritime Organization (IMO), the objective of the European Search and Rescue Task Force is to promote the enhancement and improvement of SAR facilities and services within the EUR Region and adjacent regions, in accordance with: </w:t>
      </w:r>
    </w:p>
    <w:p w:rsidR="003975FE" w:rsidRPr="002C41C7" w:rsidRDefault="003975FE" w:rsidP="003975FE">
      <w:pPr>
        <w:pStyle w:val="Default"/>
        <w:spacing w:after="120"/>
        <w:ind w:left="567"/>
        <w:jc w:val="both"/>
        <w:rPr>
          <w:sz w:val="22"/>
          <w:szCs w:val="22"/>
          <w:lang w:val="en-US"/>
        </w:rPr>
      </w:pPr>
      <w:r w:rsidRPr="002C41C7">
        <w:rPr>
          <w:sz w:val="22"/>
          <w:szCs w:val="22"/>
          <w:lang w:val="en-US"/>
        </w:rPr>
        <w:t xml:space="preserve">a) Annex 12 to the Convention on International Civil Aviation; and </w:t>
      </w:r>
    </w:p>
    <w:p w:rsidR="003975FE" w:rsidRDefault="003975FE" w:rsidP="003D3E35">
      <w:pPr>
        <w:pStyle w:val="Default"/>
        <w:spacing w:after="179"/>
        <w:ind w:left="567"/>
        <w:jc w:val="both"/>
        <w:rPr>
          <w:sz w:val="22"/>
          <w:szCs w:val="22"/>
          <w:lang w:val="en-US"/>
        </w:rPr>
      </w:pPr>
      <w:r w:rsidRPr="002C41C7">
        <w:rPr>
          <w:sz w:val="22"/>
          <w:szCs w:val="22"/>
          <w:lang w:val="en-US"/>
        </w:rPr>
        <w:t>b) the International Aeronautical an</w:t>
      </w:r>
      <w:r w:rsidR="003D3E35">
        <w:rPr>
          <w:sz w:val="22"/>
          <w:szCs w:val="22"/>
          <w:lang w:val="en-US"/>
        </w:rPr>
        <w:t>d Maritime SAR Manual (IAMSAR).</w:t>
      </w:r>
    </w:p>
    <w:p w:rsidR="003975FE" w:rsidRPr="002C41C7" w:rsidRDefault="003975FE" w:rsidP="003975FE">
      <w:pPr>
        <w:pStyle w:val="Default"/>
        <w:jc w:val="both"/>
        <w:rPr>
          <w:sz w:val="22"/>
          <w:szCs w:val="22"/>
          <w:lang w:val="en-US"/>
        </w:rPr>
      </w:pPr>
    </w:p>
    <w:p w:rsidR="003975FE" w:rsidRDefault="003975FE" w:rsidP="003975FE">
      <w:pPr>
        <w:pStyle w:val="Default"/>
        <w:jc w:val="both"/>
        <w:rPr>
          <w:b/>
          <w:bCs/>
          <w:sz w:val="22"/>
          <w:szCs w:val="22"/>
          <w:lang w:val="en-US"/>
        </w:rPr>
      </w:pPr>
      <w:r w:rsidRPr="002C41C7">
        <w:rPr>
          <w:b/>
          <w:bCs/>
          <w:sz w:val="22"/>
          <w:szCs w:val="22"/>
          <w:lang w:val="en-US"/>
        </w:rPr>
        <w:t xml:space="preserve">Tasks </w:t>
      </w:r>
    </w:p>
    <w:p w:rsidR="003975FE" w:rsidRPr="002C41C7" w:rsidRDefault="003975FE" w:rsidP="003975FE">
      <w:pPr>
        <w:pStyle w:val="Default"/>
        <w:jc w:val="both"/>
        <w:rPr>
          <w:sz w:val="22"/>
          <w:szCs w:val="22"/>
          <w:lang w:val="en-US"/>
        </w:rPr>
      </w:pPr>
    </w:p>
    <w:p w:rsidR="003975FE" w:rsidRPr="002C41C7" w:rsidRDefault="003975FE" w:rsidP="00980CB3">
      <w:pPr>
        <w:pStyle w:val="Default"/>
        <w:spacing w:after="179"/>
        <w:jc w:val="both"/>
        <w:rPr>
          <w:sz w:val="22"/>
          <w:szCs w:val="22"/>
          <w:lang w:val="en-US"/>
        </w:rPr>
      </w:pPr>
      <w:r w:rsidRPr="002C41C7">
        <w:rPr>
          <w:sz w:val="22"/>
          <w:szCs w:val="22"/>
          <w:lang w:val="en-US"/>
        </w:rPr>
        <w:t xml:space="preserve">To meet its objectives, the Task Force shall: </w:t>
      </w:r>
    </w:p>
    <w:p w:rsidR="003975FE" w:rsidRPr="002C41C7" w:rsidRDefault="003975FE" w:rsidP="003975FE">
      <w:pPr>
        <w:pStyle w:val="Default"/>
        <w:jc w:val="both"/>
        <w:rPr>
          <w:sz w:val="22"/>
          <w:szCs w:val="22"/>
          <w:lang w:val="en-US"/>
        </w:rPr>
      </w:pPr>
    </w:p>
    <w:p w:rsidR="003D3E35" w:rsidRPr="003D3E35" w:rsidRDefault="003D3E35" w:rsidP="003D3E35">
      <w:pPr>
        <w:pStyle w:val="Default"/>
        <w:spacing w:after="120"/>
        <w:ind w:left="810" w:hanging="270"/>
        <w:jc w:val="both"/>
        <w:rPr>
          <w:sz w:val="22"/>
          <w:szCs w:val="22"/>
          <w:lang w:val="en-US"/>
        </w:rPr>
      </w:pPr>
      <w:r w:rsidRPr="003D3E35">
        <w:rPr>
          <w:sz w:val="22"/>
          <w:szCs w:val="22"/>
          <w:lang w:val="en-US"/>
        </w:rPr>
        <w:t>a)</w:t>
      </w:r>
      <w:r w:rsidRPr="003D3E35">
        <w:rPr>
          <w:sz w:val="22"/>
          <w:szCs w:val="22"/>
          <w:lang w:val="en-US"/>
        </w:rPr>
        <w:tab/>
        <w:t xml:space="preserve">support the implementation of EUR SAR Documents, in accordance with the GANP, GASP, EUR RASP and the EUR Air Navigation Plan (EUR </w:t>
      </w:r>
      <w:proofErr w:type="spellStart"/>
      <w:r w:rsidRPr="003D3E35">
        <w:rPr>
          <w:sz w:val="22"/>
          <w:szCs w:val="22"/>
          <w:lang w:val="en-US"/>
        </w:rPr>
        <w:t>eANP</w:t>
      </w:r>
      <w:proofErr w:type="spellEnd"/>
      <w:r w:rsidRPr="003D3E35">
        <w:rPr>
          <w:sz w:val="22"/>
          <w:szCs w:val="22"/>
          <w:lang w:val="en-US"/>
        </w:rPr>
        <w:t>) (Doc 7754)</w:t>
      </w:r>
      <w:r>
        <w:rPr>
          <w:sz w:val="22"/>
          <w:szCs w:val="22"/>
          <w:lang w:val="en-US"/>
        </w:rPr>
        <w:t>;</w:t>
      </w:r>
    </w:p>
    <w:p w:rsidR="003D3E35" w:rsidRPr="003D3E35" w:rsidRDefault="003D3E35" w:rsidP="003D3E35">
      <w:pPr>
        <w:pStyle w:val="Default"/>
        <w:spacing w:after="120"/>
        <w:ind w:left="810" w:hanging="270"/>
        <w:jc w:val="both"/>
        <w:rPr>
          <w:sz w:val="22"/>
          <w:szCs w:val="22"/>
          <w:lang w:val="en-US"/>
        </w:rPr>
      </w:pPr>
      <w:r w:rsidRPr="003D3E35">
        <w:rPr>
          <w:sz w:val="22"/>
          <w:szCs w:val="22"/>
          <w:lang w:val="en-US"/>
        </w:rPr>
        <w:t>b)</w:t>
      </w:r>
      <w:r w:rsidRPr="003D3E35">
        <w:rPr>
          <w:sz w:val="22"/>
          <w:szCs w:val="22"/>
          <w:lang w:val="en-US"/>
        </w:rPr>
        <w:tab/>
        <w:t>share global SAR information among EUR States and other stakeholders</w:t>
      </w:r>
      <w:r>
        <w:rPr>
          <w:sz w:val="22"/>
          <w:szCs w:val="22"/>
          <w:lang w:val="en-US"/>
        </w:rPr>
        <w:t>;</w:t>
      </w:r>
    </w:p>
    <w:p w:rsidR="003D3E35" w:rsidRPr="003D3E35" w:rsidRDefault="003D3E35" w:rsidP="003D3E35">
      <w:pPr>
        <w:pStyle w:val="Default"/>
        <w:spacing w:after="120"/>
        <w:ind w:left="810" w:hanging="270"/>
        <w:jc w:val="both"/>
        <w:rPr>
          <w:sz w:val="22"/>
          <w:szCs w:val="22"/>
          <w:lang w:val="en-US"/>
        </w:rPr>
      </w:pPr>
      <w:r w:rsidRPr="003D3E35">
        <w:rPr>
          <w:sz w:val="22"/>
          <w:szCs w:val="22"/>
          <w:lang w:val="en-US"/>
        </w:rPr>
        <w:t>c)</w:t>
      </w:r>
      <w:r w:rsidRPr="003D3E35">
        <w:rPr>
          <w:sz w:val="22"/>
          <w:szCs w:val="22"/>
          <w:lang w:val="en-US"/>
        </w:rPr>
        <w:tab/>
        <w:t>promote the strengthening of SAR safety oversight capabilities</w:t>
      </w:r>
      <w:r>
        <w:rPr>
          <w:sz w:val="22"/>
          <w:szCs w:val="22"/>
          <w:lang w:val="en-US"/>
        </w:rPr>
        <w:t>;</w:t>
      </w:r>
    </w:p>
    <w:p w:rsidR="003D3E35" w:rsidRPr="003D3E35" w:rsidRDefault="003D3E35" w:rsidP="003D3E35">
      <w:pPr>
        <w:pStyle w:val="Default"/>
        <w:spacing w:after="120"/>
        <w:ind w:left="810" w:hanging="270"/>
        <w:jc w:val="both"/>
        <w:rPr>
          <w:sz w:val="22"/>
          <w:szCs w:val="22"/>
          <w:lang w:val="en-US"/>
        </w:rPr>
      </w:pPr>
      <w:r w:rsidRPr="003D3E35">
        <w:rPr>
          <w:sz w:val="22"/>
          <w:szCs w:val="22"/>
          <w:lang w:val="en-US"/>
        </w:rPr>
        <w:t>d)</w:t>
      </w:r>
      <w:r w:rsidRPr="003D3E35">
        <w:rPr>
          <w:sz w:val="22"/>
          <w:szCs w:val="22"/>
          <w:lang w:val="en-US"/>
        </w:rPr>
        <w:tab/>
        <w:t xml:space="preserve">propose amendments to EUR SAR documents  </w:t>
      </w:r>
    </w:p>
    <w:p w:rsidR="003D3E35" w:rsidRPr="002C41C7" w:rsidRDefault="003D3E35" w:rsidP="003D3E35">
      <w:pPr>
        <w:pStyle w:val="Default"/>
        <w:spacing w:after="120"/>
        <w:ind w:left="810" w:hanging="270"/>
        <w:jc w:val="both"/>
        <w:rPr>
          <w:sz w:val="22"/>
          <w:szCs w:val="22"/>
          <w:lang w:val="en-US"/>
        </w:rPr>
      </w:pPr>
      <w:r w:rsidRPr="003D3E35">
        <w:rPr>
          <w:sz w:val="22"/>
          <w:szCs w:val="22"/>
          <w:lang w:val="en-US"/>
        </w:rPr>
        <w:t>e)</w:t>
      </w:r>
      <w:r w:rsidRPr="003D3E35">
        <w:rPr>
          <w:sz w:val="22"/>
          <w:szCs w:val="22"/>
          <w:lang w:val="en-US"/>
        </w:rPr>
        <w:tab/>
        <w:t>promote SAR training activities and exercises</w:t>
      </w:r>
      <w:r w:rsidRPr="002C41C7">
        <w:rPr>
          <w:sz w:val="22"/>
          <w:szCs w:val="22"/>
          <w:lang w:val="en-US"/>
        </w:rPr>
        <w:t xml:space="preserve">. </w:t>
      </w:r>
    </w:p>
    <w:p w:rsidR="003975FE" w:rsidRPr="002C41C7" w:rsidRDefault="003975FE" w:rsidP="003975FE">
      <w:pPr>
        <w:pStyle w:val="Default"/>
        <w:jc w:val="both"/>
        <w:rPr>
          <w:sz w:val="22"/>
          <w:szCs w:val="22"/>
          <w:lang w:val="en-US"/>
        </w:rPr>
      </w:pPr>
      <w:r w:rsidRPr="002C41C7">
        <w:rPr>
          <w:sz w:val="22"/>
          <w:szCs w:val="22"/>
          <w:lang w:val="en-US"/>
        </w:rPr>
        <w:t xml:space="preserve"> </w:t>
      </w:r>
    </w:p>
    <w:p w:rsidR="003975FE" w:rsidRPr="002C41C7" w:rsidRDefault="003975FE" w:rsidP="003975FE">
      <w:pPr>
        <w:pStyle w:val="Default"/>
        <w:ind w:left="851" w:hanging="284"/>
        <w:jc w:val="both"/>
        <w:rPr>
          <w:color w:val="auto"/>
          <w:sz w:val="22"/>
          <w:szCs w:val="22"/>
          <w:lang w:val="en-US"/>
        </w:rPr>
      </w:pPr>
      <w:r>
        <w:rPr>
          <w:color w:val="auto"/>
          <w:sz w:val="22"/>
          <w:szCs w:val="22"/>
          <w:lang w:val="en-US"/>
        </w:rPr>
        <w:t>.</w:t>
      </w:r>
    </w:p>
    <w:p w:rsidR="003975FE" w:rsidRPr="002C41C7" w:rsidRDefault="003975FE" w:rsidP="003975FE">
      <w:pPr>
        <w:pStyle w:val="Default"/>
        <w:jc w:val="both"/>
        <w:rPr>
          <w:color w:val="auto"/>
          <w:sz w:val="22"/>
          <w:szCs w:val="22"/>
          <w:lang w:val="en-US"/>
        </w:rPr>
      </w:pPr>
    </w:p>
    <w:p w:rsidR="003975FE" w:rsidRDefault="003975FE" w:rsidP="003975FE">
      <w:pPr>
        <w:pStyle w:val="Default"/>
        <w:jc w:val="both"/>
        <w:rPr>
          <w:b/>
          <w:bCs/>
          <w:color w:val="auto"/>
          <w:sz w:val="22"/>
          <w:szCs w:val="22"/>
          <w:lang w:val="en-US"/>
        </w:rPr>
      </w:pPr>
      <w:r w:rsidRPr="002C41C7">
        <w:rPr>
          <w:b/>
          <w:bCs/>
          <w:color w:val="auto"/>
          <w:sz w:val="22"/>
          <w:szCs w:val="22"/>
          <w:lang w:val="en-US"/>
        </w:rPr>
        <w:t xml:space="preserve">Reporting </w:t>
      </w:r>
    </w:p>
    <w:p w:rsidR="003975FE" w:rsidRPr="002C41C7" w:rsidRDefault="003975FE" w:rsidP="003975FE">
      <w:pPr>
        <w:pStyle w:val="Default"/>
        <w:jc w:val="both"/>
        <w:rPr>
          <w:color w:val="auto"/>
          <w:sz w:val="22"/>
          <w:szCs w:val="22"/>
          <w:lang w:val="en-US"/>
        </w:rPr>
      </w:pPr>
    </w:p>
    <w:p w:rsidR="003975FE" w:rsidRPr="002C41C7" w:rsidRDefault="003975FE" w:rsidP="00980CB3">
      <w:pPr>
        <w:pStyle w:val="Default"/>
        <w:spacing w:after="179"/>
        <w:jc w:val="both"/>
        <w:rPr>
          <w:color w:val="auto"/>
          <w:sz w:val="22"/>
          <w:szCs w:val="22"/>
          <w:lang w:val="en-US"/>
        </w:rPr>
      </w:pPr>
      <w:r w:rsidRPr="002C41C7">
        <w:rPr>
          <w:color w:val="auto"/>
          <w:sz w:val="22"/>
          <w:szCs w:val="22"/>
          <w:lang w:val="en-US"/>
        </w:rPr>
        <w:t>The EURSAR/TF reports to the EASPG PCG</w:t>
      </w:r>
      <w:r w:rsidR="00BF17B6">
        <w:rPr>
          <w:color w:val="auto"/>
          <w:sz w:val="22"/>
          <w:szCs w:val="22"/>
          <w:lang w:val="en-US"/>
        </w:rPr>
        <w:t>.</w:t>
      </w:r>
      <w:r w:rsidRPr="002C41C7">
        <w:rPr>
          <w:color w:val="auto"/>
          <w:sz w:val="22"/>
          <w:szCs w:val="22"/>
          <w:lang w:val="en-US"/>
        </w:rPr>
        <w:t xml:space="preserve"> </w:t>
      </w:r>
    </w:p>
    <w:p w:rsidR="003975FE" w:rsidRPr="002C41C7" w:rsidRDefault="003975FE" w:rsidP="003975FE">
      <w:pPr>
        <w:pStyle w:val="Default"/>
        <w:jc w:val="both"/>
        <w:rPr>
          <w:color w:val="auto"/>
          <w:sz w:val="22"/>
          <w:szCs w:val="22"/>
          <w:lang w:val="en-US"/>
        </w:rPr>
      </w:pPr>
    </w:p>
    <w:p w:rsidR="003975FE" w:rsidRDefault="00980CB3" w:rsidP="003975FE">
      <w:pPr>
        <w:pStyle w:val="Default"/>
        <w:jc w:val="both"/>
        <w:rPr>
          <w:b/>
          <w:bCs/>
          <w:color w:val="auto"/>
          <w:sz w:val="22"/>
          <w:szCs w:val="22"/>
          <w:lang w:val="en-US"/>
        </w:rPr>
      </w:pPr>
      <w:r>
        <w:rPr>
          <w:b/>
          <w:bCs/>
          <w:color w:val="auto"/>
          <w:sz w:val="22"/>
          <w:szCs w:val="22"/>
          <w:lang w:val="en-US"/>
        </w:rPr>
        <w:t>Composition</w:t>
      </w:r>
      <w:r w:rsidR="003975FE" w:rsidRPr="002C41C7">
        <w:rPr>
          <w:b/>
          <w:bCs/>
          <w:color w:val="auto"/>
          <w:sz w:val="22"/>
          <w:szCs w:val="22"/>
          <w:lang w:val="en-US"/>
        </w:rPr>
        <w:t xml:space="preserve"> </w:t>
      </w:r>
    </w:p>
    <w:p w:rsidR="003975FE" w:rsidRPr="002C41C7" w:rsidRDefault="003975FE" w:rsidP="003975FE">
      <w:pPr>
        <w:pStyle w:val="Default"/>
        <w:jc w:val="both"/>
        <w:rPr>
          <w:color w:val="auto"/>
          <w:sz w:val="22"/>
          <w:szCs w:val="22"/>
          <w:lang w:val="en-US"/>
        </w:rPr>
      </w:pPr>
    </w:p>
    <w:p w:rsidR="003975FE" w:rsidRPr="002C41C7" w:rsidRDefault="00BF17B6" w:rsidP="00980CB3">
      <w:pPr>
        <w:pStyle w:val="Default"/>
        <w:spacing w:after="179"/>
        <w:jc w:val="both"/>
        <w:rPr>
          <w:color w:val="auto"/>
          <w:sz w:val="22"/>
          <w:szCs w:val="22"/>
          <w:lang w:val="en-US"/>
        </w:rPr>
      </w:pPr>
      <w:r>
        <w:rPr>
          <w:color w:val="auto"/>
          <w:sz w:val="22"/>
          <w:szCs w:val="22"/>
          <w:lang w:val="en-US"/>
        </w:rPr>
        <w:t xml:space="preserve">EUR States and international </w:t>
      </w:r>
      <w:proofErr w:type="spellStart"/>
      <w:r>
        <w:rPr>
          <w:color w:val="auto"/>
          <w:sz w:val="22"/>
          <w:szCs w:val="22"/>
          <w:lang w:val="en-US"/>
        </w:rPr>
        <w:t>organisations</w:t>
      </w:r>
      <w:proofErr w:type="spellEnd"/>
      <w:r>
        <w:rPr>
          <w:color w:val="auto"/>
          <w:sz w:val="22"/>
          <w:szCs w:val="22"/>
          <w:lang w:val="en-US"/>
        </w:rPr>
        <w:t>, including</w:t>
      </w:r>
      <w:r w:rsidR="003975FE" w:rsidRPr="002C41C7">
        <w:rPr>
          <w:color w:val="auto"/>
          <w:sz w:val="22"/>
          <w:szCs w:val="22"/>
          <w:lang w:val="en-US"/>
        </w:rPr>
        <w:t xml:space="preserve"> IMO. The membership is also open to participants from outside </w:t>
      </w:r>
      <w:r>
        <w:rPr>
          <w:color w:val="auto"/>
          <w:sz w:val="22"/>
          <w:szCs w:val="22"/>
          <w:lang w:val="en-US"/>
        </w:rPr>
        <w:t xml:space="preserve">of </w:t>
      </w:r>
      <w:r w:rsidR="003975FE" w:rsidRPr="002C41C7">
        <w:rPr>
          <w:color w:val="auto"/>
          <w:sz w:val="22"/>
          <w:szCs w:val="22"/>
          <w:lang w:val="en-US"/>
        </w:rPr>
        <w:t xml:space="preserve">the EUR Region or organizations that can contribute to EURSAR/TF by invitation from EURSAR/TF (such as military organizations that can facilitate SAR operations). </w:t>
      </w:r>
    </w:p>
    <w:p w:rsidR="003D3E35" w:rsidRDefault="003D3E35" w:rsidP="003975FE">
      <w:pPr>
        <w:pStyle w:val="IcaoSoDDecContext"/>
        <w:spacing w:after="240"/>
        <w:ind w:left="992"/>
        <w:jc w:val="center"/>
        <w:rPr>
          <w:lang w:val="en-US"/>
        </w:rPr>
      </w:pPr>
    </w:p>
    <w:p w:rsidR="002335CD" w:rsidRPr="002335CD" w:rsidRDefault="002335CD" w:rsidP="003975FE">
      <w:pPr>
        <w:pStyle w:val="IcaoSoDDecContext"/>
        <w:spacing w:after="240"/>
        <w:ind w:left="992"/>
        <w:jc w:val="center"/>
        <w:rPr>
          <w:b/>
        </w:rPr>
      </w:pPr>
      <w:r w:rsidRPr="002335CD">
        <w:rPr>
          <w:b/>
        </w:rPr>
        <w:t>-END-</w:t>
      </w:r>
    </w:p>
    <w:sectPr w:rsidR="002335CD" w:rsidRPr="002335CD" w:rsidSect="002335CD">
      <w:headerReference w:type="default" r:id="rId7"/>
      <w:headerReference w:type="first" r:id="rId8"/>
      <w:pgSz w:w="12240" w:h="15840"/>
      <w:pgMar w:top="1440" w:right="1440" w:bottom="42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4F1" w:rsidRDefault="00BF34F1" w:rsidP="002335CD">
      <w:pPr>
        <w:spacing w:after="0" w:line="240" w:lineRule="auto"/>
      </w:pPr>
      <w:r>
        <w:separator/>
      </w:r>
    </w:p>
  </w:endnote>
  <w:endnote w:type="continuationSeparator" w:id="0">
    <w:p w:rsidR="00BF34F1" w:rsidRDefault="00BF34F1" w:rsidP="00233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4F1" w:rsidRDefault="00BF34F1" w:rsidP="002335CD">
      <w:pPr>
        <w:spacing w:after="0" w:line="240" w:lineRule="auto"/>
      </w:pPr>
      <w:r>
        <w:separator/>
      </w:r>
    </w:p>
  </w:footnote>
  <w:footnote w:type="continuationSeparator" w:id="0">
    <w:p w:rsidR="00BF34F1" w:rsidRDefault="00BF34F1" w:rsidP="00233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1526731"/>
      <w:docPartObj>
        <w:docPartGallery w:val="Page Numbers (Top of Page)"/>
        <w:docPartUnique/>
      </w:docPartObj>
    </w:sdtPr>
    <w:sdtEndPr>
      <w:rPr>
        <w:rFonts w:ascii="Times New Roman" w:hAnsi="Times New Roman" w:cs="Times New Roman"/>
        <w:noProof/>
      </w:rPr>
    </w:sdtEndPr>
    <w:sdtContent>
      <w:p w:rsidR="002335CD" w:rsidRPr="00446D4F" w:rsidRDefault="002335CD" w:rsidP="002335CD">
        <w:pPr>
          <w:pStyle w:val="Header"/>
          <w:pBdr>
            <w:bottom w:val="single" w:sz="4" w:space="1" w:color="auto"/>
          </w:pBdr>
          <w:tabs>
            <w:tab w:val="clear" w:pos="9360"/>
            <w:tab w:val="right" w:pos="9630"/>
          </w:tabs>
          <w:ind w:firstLine="4320"/>
          <w:jc w:val="center"/>
          <w:rPr>
            <w:rFonts w:ascii="Times New Roman" w:hAnsi="Times New Roman" w:cs="Times New Roman"/>
          </w:rPr>
        </w:pPr>
        <w:r w:rsidRPr="00446D4F">
          <w:rPr>
            <w:rFonts w:ascii="Times New Roman" w:hAnsi="Times New Roman" w:cs="Times New Roman"/>
          </w:rPr>
          <w:fldChar w:fldCharType="begin"/>
        </w:r>
        <w:r w:rsidRPr="00446D4F">
          <w:rPr>
            <w:rFonts w:ascii="Times New Roman" w:hAnsi="Times New Roman" w:cs="Times New Roman"/>
          </w:rPr>
          <w:instrText xml:space="preserve"> PAGE   \* MERGEFORMAT </w:instrText>
        </w:r>
        <w:r w:rsidRPr="00446D4F">
          <w:rPr>
            <w:rFonts w:ascii="Times New Roman" w:hAnsi="Times New Roman" w:cs="Times New Roman"/>
          </w:rPr>
          <w:fldChar w:fldCharType="separate"/>
        </w:r>
        <w:r w:rsidR="005C7299">
          <w:rPr>
            <w:rFonts w:ascii="Times New Roman" w:hAnsi="Times New Roman" w:cs="Times New Roman"/>
            <w:noProof/>
          </w:rPr>
          <w:t>2</w:t>
        </w:r>
        <w:r w:rsidRPr="00446D4F">
          <w:rPr>
            <w:rFonts w:ascii="Times New Roman" w:hAnsi="Times New Roman" w:cs="Times New Roman"/>
            <w:noProof/>
          </w:rPr>
          <w:fldChar w:fldCharType="end"/>
        </w:r>
        <w:r w:rsidR="007A14DB">
          <w:rPr>
            <w:rFonts w:ascii="Times New Roman" w:hAnsi="Times New Roman" w:cs="Times New Roman"/>
            <w:noProof/>
          </w:rPr>
          <w:tab/>
        </w:r>
        <w:r w:rsidR="007A14DB">
          <w:rPr>
            <w:rFonts w:ascii="Times New Roman" w:hAnsi="Times New Roman" w:cs="Times New Roman"/>
            <w:noProof/>
          </w:rPr>
          <w:tab/>
          <w:t>EASPG/03 – FL/05</w:t>
        </w:r>
      </w:p>
    </w:sdtContent>
  </w:sdt>
  <w:p w:rsidR="002335CD" w:rsidRDefault="002335CD" w:rsidP="002335CD">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5CD" w:rsidRDefault="005C7299">
    <w:pPr>
      <w:pStyle w:val="Header"/>
    </w:pPr>
    <w:r>
      <w:tab/>
    </w:r>
    <w:r>
      <w:tab/>
    </w:r>
    <w:r w:rsidRPr="005C7299">
      <w:rPr>
        <w:b/>
      </w:rPr>
      <w:t xml:space="preserve">Appendix M </w:t>
    </w:r>
    <w:r>
      <w:t>to</w:t>
    </w:r>
  </w:p>
  <w:p w:rsidR="005C7299" w:rsidRDefault="005C7299">
    <w:pPr>
      <w:pStyle w:val="Header"/>
    </w:pPr>
    <w:r>
      <w:tab/>
    </w:r>
    <w:r>
      <w:tab/>
      <w:t>EASPG/03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5EC5"/>
    <w:multiLevelType w:val="hybridMultilevel"/>
    <w:tmpl w:val="34FC328C"/>
    <w:lvl w:ilvl="0" w:tplc="B052C814">
      <w:start w:val="1"/>
      <w:numFmt w:val="lowerLetter"/>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15:restartNumberingAfterBreak="0">
    <w:nsid w:val="53313DA9"/>
    <w:multiLevelType w:val="hybridMultilevel"/>
    <w:tmpl w:val="91D63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263921"/>
    <w:multiLevelType w:val="hybridMultilevel"/>
    <w:tmpl w:val="441EBFFE"/>
    <w:lvl w:ilvl="0" w:tplc="475C11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39248C"/>
    <w:multiLevelType w:val="hybridMultilevel"/>
    <w:tmpl w:val="34FC328C"/>
    <w:lvl w:ilvl="0" w:tplc="B052C814">
      <w:start w:val="1"/>
      <w:numFmt w:val="lowerLetter"/>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688"/>
    <w:rsid w:val="000A1688"/>
    <w:rsid w:val="001362EB"/>
    <w:rsid w:val="002335CD"/>
    <w:rsid w:val="003975FE"/>
    <w:rsid w:val="003D3E35"/>
    <w:rsid w:val="003E69EF"/>
    <w:rsid w:val="0041010A"/>
    <w:rsid w:val="00473FAA"/>
    <w:rsid w:val="004765E2"/>
    <w:rsid w:val="00546105"/>
    <w:rsid w:val="005C7299"/>
    <w:rsid w:val="005F4B7E"/>
    <w:rsid w:val="00621DE7"/>
    <w:rsid w:val="00667C4A"/>
    <w:rsid w:val="00695794"/>
    <w:rsid w:val="00731B2A"/>
    <w:rsid w:val="007A14DB"/>
    <w:rsid w:val="00857452"/>
    <w:rsid w:val="00860EC0"/>
    <w:rsid w:val="008B667D"/>
    <w:rsid w:val="00980CB3"/>
    <w:rsid w:val="00982D00"/>
    <w:rsid w:val="00BF17B6"/>
    <w:rsid w:val="00BF34F1"/>
    <w:rsid w:val="00D02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678AC"/>
  <w15:chartTrackingRefBased/>
  <w15:docId w15:val="{02F0D906-D9CD-4160-9C55-F2762822B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caoSoDDecContext">
    <w:name w:val="IcaoSoD Dec/Con text"/>
    <w:basedOn w:val="Normal"/>
    <w:rsid w:val="000A1688"/>
    <w:pPr>
      <w:keepNext/>
      <w:tabs>
        <w:tab w:val="left" w:pos="1418"/>
      </w:tabs>
      <w:spacing w:after="120" w:line="240" w:lineRule="auto"/>
      <w:ind w:left="993"/>
      <w:jc w:val="both"/>
    </w:pPr>
    <w:rPr>
      <w:rFonts w:ascii="Times New Roman" w:eastAsia="Times New Roman" w:hAnsi="Times New Roman" w:cs="Times New Roman"/>
      <w:szCs w:val="20"/>
      <w:lang w:val="en-GB"/>
    </w:rPr>
  </w:style>
  <w:style w:type="paragraph" w:customStyle="1" w:styleId="icaoConclusiontitle">
    <w:name w:val="icao Conclusion title"/>
    <w:basedOn w:val="Normal"/>
    <w:next w:val="Normal"/>
    <w:rsid w:val="000A1688"/>
    <w:pPr>
      <w:keepNext/>
      <w:spacing w:after="240" w:line="240" w:lineRule="auto"/>
      <w:ind w:left="2835" w:hanging="2835"/>
      <w:jc w:val="both"/>
    </w:pPr>
    <w:rPr>
      <w:rFonts w:ascii="Times New Roman Bold" w:eastAsia="Times New Roman" w:hAnsi="Times New Roman Bold" w:cs="Times New Roman"/>
      <w:b/>
      <w:szCs w:val="20"/>
      <w:lang w:val="en-GB"/>
    </w:rPr>
  </w:style>
  <w:style w:type="paragraph" w:styleId="Header">
    <w:name w:val="header"/>
    <w:basedOn w:val="Normal"/>
    <w:link w:val="HeaderChar"/>
    <w:uiPriority w:val="99"/>
    <w:unhideWhenUsed/>
    <w:rsid w:val="002335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5CD"/>
  </w:style>
  <w:style w:type="paragraph" w:styleId="Footer">
    <w:name w:val="footer"/>
    <w:basedOn w:val="Normal"/>
    <w:link w:val="FooterChar"/>
    <w:uiPriority w:val="99"/>
    <w:unhideWhenUsed/>
    <w:rsid w:val="002335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5CD"/>
  </w:style>
  <w:style w:type="paragraph" w:customStyle="1" w:styleId="Default">
    <w:name w:val="Default"/>
    <w:rsid w:val="002335CD"/>
    <w:pPr>
      <w:autoSpaceDE w:val="0"/>
      <w:autoSpaceDN w:val="0"/>
      <w:adjustRightInd w:val="0"/>
      <w:spacing w:after="0" w:line="240" w:lineRule="auto"/>
    </w:pPr>
    <w:rPr>
      <w:rFonts w:ascii="Times New Roman" w:eastAsia="Times New Roman" w:hAnsi="Times New Roman" w:cs="Times New Roman"/>
      <w:color w:val="000000"/>
      <w:sz w:val="24"/>
      <w:szCs w:val="24"/>
      <w:lang w:val="fr-FR"/>
    </w:rPr>
  </w:style>
  <w:style w:type="character" w:styleId="PlaceholderText">
    <w:name w:val="Placeholder Text"/>
    <w:basedOn w:val="DefaultParagraphFont"/>
    <w:uiPriority w:val="99"/>
    <w:semiHidden/>
    <w:rsid w:val="002335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In support of WP19 - EUR SAR Task Force Progress Report</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support of WP19 - EUR SAR Task Force Progress Report</dc:title>
  <dc:subject/>
  <dc:creator>Merkulov, Arkadii</dc:creator>
  <cp:keywords/>
  <dc:description/>
  <cp:lastModifiedBy>Hofstetter, Isabelle</cp:lastModifiedBy>
  <cp:revision>6</cp:revision>
  <dcterms:created xsi:type="dcterms:W3CDTF">2021-12-01T07:08:00Z</dcterms:created>
  <dcterms:modified xsi:type="dcterms:W3CDTF">2021-12-08T10:46:00Z</dcterms:modified>
</cp:coreProperties>
</file>